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left="0" w:firstLine="0"/>
        <w:rPr>
          <w:rStyle w:val="PO1"/>
          <w:spacing w:val="0"/>
          <w:color w:val="auto"/>
          <w:position w:val="0"/>
          <w:sz w:val="36"/>
          <w:szCs w:val="36"/>
          <w:rFonts w:ascii="Times New Roman" w:eastAsia="宋体" w:hAnsi="宋体" w:hint="default"/>
        </w:rPr>
        <w:outlineLvl w:val="0"/>
        <w:wordWrap w:val="off"/>
        <w:snapToGrid w:val="off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6"/>
          <w:szCs w:val="36"/>
          <w:rFonts w:ascii="Times New Roman" w:eastAsia="宋体" w:hAnsi="宋体" w:hint="default"/>
        </w:rPr>
        <w:t>西北农林科技大学各部门归档范围与保管期限表</w:t>
      </w:r>
    </w:p>
    <w:p>
      <w:pPr>
        <w:bidi w:val="0"/>
        <w:numPr>
          <w:ilvl w:val="0"/>
          <w:numId w:val="0"/>
        </w:numPr>
        <w:jc w:val="left"/>
        <w:spacing w:lineRule="auto" w:line="360" w:before="0" w:after="0"/>
        <w:pageBreakBefore w:val="0"/>
        <w:ind w:right="0" w:left="0" w:firstLine="0"/>
        <w:rPr>
          <w:rStyle w:val="PO1"/>
          <w:spacing w:val="0"/>
          <w:b w:val="1"/>
          <w:color w:val="000000"/>
          <w:position w:val="0"/>
          <w:sz w:val="28"/>
          <w:szCs w:val="28"/>
          <w:rFonts w:ascii="宋体" w:eastAsia="宋体" w:hAnsi="宋体" w:hint="default"/>
        </w:rPr>
        <w:outlineLvl w:val="1"/>
        <w:wordWrap w:val="off"/>
        <w:snapToGrid w:val="off"/>
        <w:autoSpaceDE w:val="1"/>
        <w:autoSpaceDN w:val="1"/>
      </w:pPr>
      <w:r>
        <w:rPr>
          <w:rStyle w:val="PO1"/>
          <w:spacing w:val="0"/>
          <w:b w:val="1"/>
          <w:color w:val="000000"/>
          <w:position w:val="0"/>
          <w:sz w:val="28"/>
          <w:szCs w:val="28"/>
          <w:rFonts w:ascii="宋体" w:eastAsia="宋体" w:hAnsi="宋体" w:hint="default"/>
        </w:rPr>
        <w:t>归档部门：各学院（系）</w:t>
      </w:r>
    </w:p>
    <w:tbl>
      <w:tblID w:val="0"/>
      <w:tblPr>
        <w:tblW w:w="9477" w:type="dxa"/>
        <w:tblLook w:val="000600" w:firstRow="0" w:lastRow="0" w:firstColumn="0" w:lastColumn="0" w:noHBand="1" w:noVBand="1"/>
      </w:tblPr>
      <w:tblGrid>
        <w:gridCol w:w="661"/>
        <w:gridCol w:w="539"/>
        <w:gridCol w:w="4978"/>
        <w:gridCol w:w="884"/>
        <w:gridCol w:w="2415"/>
      </w:tblGrid>
      <w:tr>
        <w:trPr>
          <w:trHeight w:hRule="atleast" w:val="679"/>
          <w:tblHeader/>
          <w:hidden w:val="0"/>
        </w:trPr>
        <w:tc>
          <w:tcPr>
            <w:tcW w:type="dxa" w:w="661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分类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号</w:t>
            </w:r>
          </w:p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序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号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single" w:color="000000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类目名称（归档范围）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single" w:color="000000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保管期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限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single" w:color="000000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备注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DQ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党建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工作</w:t>
            </w:r>
          </w:p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学院党总支发布的有关学生党建工作的通知、公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示、通报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学生党员材料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学生党建活动材料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4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教职工党建活动材料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5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学院教职工党员名册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6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学院优秀党员名单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XZ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行政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工作</w:t>
            </w:r>
          </w:p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学校相关重要文件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长期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档案馆已有保存，学院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可根据方便工作有选择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性的保存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学院发展定位和发展规划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学院党政联席会会议记录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4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公章使用记录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5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学院教职工名册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6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表彰和奖励先进集体、先进教职工的材料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7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学院、系工作计划、年底工作总结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8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学院重大活动资料（画册、活动方案等）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9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对外（国内）交流材料、合同、协议等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10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师资队伍建设相关材料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11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院史资料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12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消防安全工作情况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JX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教学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工作</w:t>
            </w:r>
          </w:p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single" w:color="000000" w:sz="8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一、研究生管理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1"/>
              </w:numPr>
              <w:jc w:val="left"/>
              <w:spacing w:lineRule="exact" w:line="360" w:before="0" w:after="0"/>
              <w:pageBreakBefore w:val="0"/>
              <w:ind w:right="0" w:left="360" w:hanging="36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学校下发的管理文件；②学院制定的管理文件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档案馆已有保存，学院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可根据方便工作选择性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保存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研究生学位档案材料（博士21项，硕士22项不等）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工作完成后，按学校要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求移交档案馆统一保存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研究生人事档案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工作完成后，按学校要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求移交档案馆统一保存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二、本科生管理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教学管理规章制度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重要文件（包括上级有关教学检查、评估和各级优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秀教学质量有关评奖材料、结论、证书等）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学校层面文件档案馆有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保存，学院层面的文件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由学院永久保存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学院领导督导教学工作（包括①学院领导开展教学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建设、研究教学工作情况的工作计划；②活动与会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议记录；③听课与检查记录；④调停课、补课申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请）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4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各学期校历表、课表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10年</w:t>
            </w:r>
          </w:p>
        </w:tc>
        <w:tc>
          <w:tcPr>
            <w:tcW w:type="dxa" w:w="2415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5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学业异动及学业处理（包括升级、留级、休学、复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学、转专业、出国、学业处理、退学等的申请的纸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质档）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10年</w:t>
            </w:r>
          </w:p>
        </w:tc>
        <w:tc>
          <w:tcPr>
            <w:tcW w:type="dxa" w:w="2415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6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课程建设材料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10年</w:t>
            </w:r>
          </w:p>
        </w:tc>
        <w:tc>
          <w:tcPr>
            <w:tcW w:type="dxa" w:w="2415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7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实验课开设情况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10年</w:t>
            </w:r>
          </w:p>
        </w:tc>
        <w:tc>
          <w:tcPr>
            <w:tcW w:type="dxa" w:w="2415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8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期末考试试卷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5年</w:t>
            </w:r>
          </w:p>
        </w:tc>
        <w:tc>
          <w:tcPr>
            <w:tcW w:type="dxa" w:w="2415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9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实践教学与科研训练相关材料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10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毕业生论文答辩工作相关材料（包括毕业论文及相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关评阅材料）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11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毕业生名册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12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教学奖励(包括教学成果奖、教学名师奖、教材获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奖、特色项目奖励等教学获奖文件、情况统计及相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关支撑材料）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13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学籍卡片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工作完成后，按学校要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求移交档案馆保存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KY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科研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管理</w:t>
            </w:r>
          </w:p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上级有关科研工作的文件材料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档案馆已有保存，学院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可根据工作需要选择性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保存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学院有关科研工作政策、规划、计划、规章制度、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工作总结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学校层面的内容，档案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馆有保存，学院层面的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由学院保存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本院科研管理统计数据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4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发表论文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5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出版专著、教材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6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科研课题（项目）材料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7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科研获奖材料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8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学术活动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GZ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设备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管理</w:t>
            </w:r>
          </w:p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上级和学校下发的有关实验室和设备管理的文件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院系实验室建设规划、管理制度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院系实验室固定资产账、仪器设备清单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4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院系大型精密贵重仪器设备购置报告、开箱验收记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录、使用和检修记录、设备说明书及全套随机文件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5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院系网络建设与管理的有关文件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XS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学生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管理</w:t>
            </w:r>
          </w:p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学生综合测评材料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学生科研情况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毕业纪念册、毕业照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工作完后，同电子版移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交档案馆永久保存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4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贫困生工作材料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10年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5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学生奖励工作材料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30年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6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新生入学档案（高中阶段档案）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工作完成后，按学校要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求移交档案馆保存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7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本科生人事档案（高中阶段和本科阶段）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工作完成后，按学校要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求移交档案馆保存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vAlign w:val="center"/>
            <w:vMerge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/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8</w:t>
            </w: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学院学生活动照片、新闻稿及录像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tcMar>
              <w:left w:w="108" w:type="dxa"/>
              <w:right w:w="108" w:type="dxa"/>
            </w:tcMar>
            <w:vAlign w:val="top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SX</w:t>
            </w:r>
          </w:p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照片及声像档案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397"/>
          <w:hidden w:val="0"/>
        </w:trPr>
        <w:tc>
          <w:tcPr>
            <w:tcW w:type="dxa" w:w="661"/>
            <w:tcMar>
              <w:left w:w="108" w:type="dxa"/>
              <w:right w:w="108" w:type="dxa"/>
            </w:tcMar>
            <w:vAlign w:val="top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SW</w:t>
            </w:r>
          </w:p>
        </w:tc>
        <w:tc>
          <w:tcPr>
            <w:tcW w:type="dxa" w:w="539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497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实物档案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（奖杯、奖牌、纪念品等）</w:t>
            </w:r>
          </w:p>
        </w:tc>
        <w:tc>
          <w:tcPr>
            <w:tcW w:type="dxa" w:w="884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永久</w:t>
            </w:r>
          </w:p>
        </w:tc>
        <w:tc>
          <w:tcPr>
            <w:tcW w:type="dxa" w:w="241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one" w:color="000000" w:sz="255"/>
              <w:right w:val="single" w:color="000000" w:sz="8"/>
              <w:top w:val="none" w:color="000000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60" w:before="0" w:after="0"/>
              <w:pageBreakBefore w:val="0"/>
              <w:ind w:right="0" w:lef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</w:tbl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lef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outlineLvl w:val="0"/>
        <w:wordWrap w:val="off"/>
        <w:snapToGrid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EnclosedCircle"/>
      <w:start w:val="1"/>
      <w:suff w:val="tab"/>
      <w:pPr>
        <w:autoSpaceDE w:val="1"/>
        <w:autoSpaceDN w:val="1"/>
        <w:ind w:left="360" w:hanging="360"/>
        <w:kinsoku/>
        <w:overflowPunct/>
        <w:pageBreakBefore w:val="0"/>
        <w:textAlignment w:val="baseline"/>
        <w:widowControl/>
      </w:pPr>
      <w:rPr>
        <w:color w:val="000000"/>
        <w:rFonts w:ascii="宋体" w:eastAsia="宋体" w:hAnsi="宋体"/>
        <w:rStyle w:val="PO1"/>
        <w:sz w:val="21"/>
        <w:szCs w:val="21"/>
        <w:w w:val="100"/>
      </w:rPr>
      <w:lvlText w:val="%1"/>
    </w:lvl>
    <w:lvl w:ilvl="1">
      <w:lvlJc w:val="left"/>
      <w:numFmt w:val="lowerLetter"/>
      <w:start w:val="1"/>
      <w:suff w:val="tab"/>
      <w:pPr>
        <w:autoSpaceDE w:val="1"/>
        <w:autoSpaceDN w:val="1"/>
        <w:ind w:left="840" w:hanging="42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260" w:hanging="42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1680" w:hanging="42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100" w:hanging="42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2520" w:hanging="42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2940" w:hanging="42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3360" w:hanging="42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3780" w:hanging="42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243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